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D62" w:rsidRPr="005D1D62" w:rsidRDefault="005D1D62" w:rsidP="002876DD">
      <w:pPr>
        <w:jc w:val="both"/>
        <w:rPr>
          <w:b/>
          <w:sz w:val="24"/>
          <w:szCs w:val="24"/>
          <w:lang w:val="en-GB"/>
        </w:rPr>
      </w:pPr>
      <w:proofErr w:type="spellStart"/>
      <w:r w:rsidRPr="005D1D62">
        <w:rPr>
          <w:b/>
          <w:sz w:val="24"/>
          <w:szCs w:val="24"/>
          <w:lang w:val="en-GB"/>
        </w:rPr>
        <w:t>Türkiye</w:t>
      </w:r>
      <w:proofErr w:type="spellEnd"/>
      <w:r w:rsidRPr="005D1D62">
        <w:rPr>
          <w:b/>
          <w:sz w:val="24"/>
          <w:szCs w:val="24"/>
          <w:lang w:val="en-GB"/>
        </w:rPr>
        <w:t>- BRSA- Recent Regulatory Changes</w:t>
      </w:r>
    </w:p>
    <w:p w:rsidR="005D1D62" w:rsidRDefault="005D1D62" w:rsidP="002876DD">
      <w:pPr>
        <w:jc w:val="both"/>
        <w:rPr>
          <w:sz w:val="24"/>
          <w:szCs w:val="24"/>
          <w:lang w:val="en-GB"/>
        </w:rPr>
      </w:pPr>
    </w:p>
    <w:p w:rsidR="002876DD" w:rsidRPr="002876DD" w:rsidRDefault="002876DD" w:rsidP="002876DD">
      <w:pPr>
        <w:jc w:val="both"/>
        <w:rPr>
          <w:sz w:val="24"/>
          <w:szCs w:val="24"/>
          <w:lang w:val="en-GB"/>
        </w:rPr>
      </w:pPr>
      <w:r>
        <w:rPr>
          <w:sz w:val="24"/>
          <w:szCs w:val="24"/>
          <w:lang w:val="en-GB"/>
        </w:rPr>
        <w:t>W</w:t>
      </w:r>
      <w:r w:rsidRPr="002876DD">
        <w:rPr>
          <w:sz w:val="24"/>
          <w:szCs w:val="24"/>
          <w:lang w:val="en-GB"/>
        </w:rPr>
        <w:t xml:space="preserve">e would like to state the issues below enabled by the recent regulatory changes made by </w:t>
      </w:r>
      <w:r>
        <w:rPr>
          <w:sz w:val="24"/>
          <w:szCs w:val="24"/>
          <w:lang w:val="en-GB"/>
        </w:rPr>
        <w:t>the Banking Regulation and Supervision Agency</w:t>
      </w:r>
      <w:r w:rsidRPr="002876DD">
        <w:rPr>
          <w:sz w:val="24"/>
          <w:szCs w:val="24"/>
          <w:lang w:val="en-GB"/>
        </w:rPr>
        <w:t xml:space="preserve">: </w:t>
      </w:r>
      <w:bookmarkStart w:id="0" w:name="_GoBack"/>
      <w:bookmarkEnd w:id="0"/>
    </w:p>
    <w:p w:rsidR="002876DD" w:rsidRPr="002876DD" w:rsidRDefault="002876DD" w:rsidP="002876DD">
      <w:pPr>
        <w:jc w:val="both"/>
        <w:rPr>
          <w:sz w:val="24"/>
          <w:szCs w:val="24"/>
          <w:lang w:val="en-GB"/>
        </w:rPr>
      </w:pPr>
    </w:p>
    <w:p w:rsidR="002876DD" w:rsidRPr="002876DD" w:rsidRDefault="002876DD" w:rsidP="002876DD">
      <w:pPr>
        <w:pStyle w:val="ListParagraph"/>
        <w:ind w:hanging="360"/>
        <w:jc w:val="both"/>
        <w:rPr>
          <w:sz w:val="24"/>
          <w:szCs w:val="24"/>
          <w:lang w:val="en-GB"/>
        </w:rPr>
      </w:pPr>
      <w:r w:rsidRPr="002876DD">
        <w:rPr>
          <w:sz w:val="24"/>
          <w:szCs w:val="24"/>
          <w:lang w:val="en-GB"/>
        </w:rPr>
        <w:t>-</w:t>
      </w:r>
      <w:r w:rsidRPr="002876DD">
        <w:rPr>
          <w:rFonts w:ascii="Times New Roman" w:hAnsi="Times New Roman" w:cs="Times New Roman"/>
          <w:sz w:val="24"/>
          <w:szCs w:val="24"/>
          <w:lang w:val="en-GB"/>
        </w:rPr>
        <w:t>    </w:t>
      </w:r>
      <w:r w:rsidRPr="002876DD">
        <w:rPr>
          <w:sz w:val="24"/>
          <w:szCs w:val="24"/>
          <w:lang w:val="en-GB"/>
        </w:rPr>
        <w:t>With the necessary amendments to the relevant legislation, contracts between card issuing organizations and card holders as well as the factoring, financial lease and financing contracts can now be arranged at a distance through the use of remote communication tools or through the other methods determined by the Banking Regulation and Supervision Board that replace the written form.</w:t>
      </w:r>
    </w:p>
    <w:p w:rsidR="002876DD" w:rsidRPr="002876DD" w:rsidRDefault="002876DD" w:rsidP="002876DD">
      <w:pPr>
        <w:pStyle w:val="ListParagraph"/>
        <w:jc w:val="both"/>
        <w:rPr>
          <w:sz w:val="24"/>
          <w:szCs w:val="24"/>
          <w:lang w:val="en-GB"/>
        </w:rPr>
      </w:pPr>
    </w:p>
    <w:p w:rsidR="002876DD" w:rsidRPr="002876DD" w:rsidRDefault="002876DD" w:rsidP="002876DD">
      <w:pPr>
        <w:pStyle w:val="ListParagraph"/>
        <w:ind w:hanging="360"/>
        <w:jc w:val="both"/>
        <w:rPr>
          <w:sz w:val="24"/>
          <w:szCs w:val="24"/>
          <w:lang w:val="en-GB"/>
        </w:rPr>
      </w:pPr>
      <w:r w:rsidRPr="002876DD">
        <w:rPr>
          <w:sz w:val="24"/>
          <w:szCs w:val="24"/>
          <w:lang w:val="en-GB"/>
        </w:rPr>
        <w:t>-</w:t>
      </w:r>
      <w:r w:rsidRPr="002876DD">
        <w:rPr>
          <w:rFonts w:ascii="Times New Roman" w:hAnsi="Times New Roman" w:cs="Times New Roman"/>
          <w:sz w:val="24"/>
          <w:szCs w:val="24"/>
          <w:lang w:val="en-GB"/>
        </w:rPr>
        <w:t>     </w:t>
      </w:r>
      <w:r w:rsidRPr="002876DD">
        <w:rPr>
          <w:sz w:val="24"/>
          <w:szCs w:val="24"/>
          <w:lang w:val="en-GB"/>
        </w:rPr>
        <w:t>Including also the contracts subject to the condition of a written form, the establishment of a contractual relationship between banks and costumers in electronic environment has been made possible and therefore as in other countries’ practices, an important step has been taken towards the foundation of the infrastructure of the branchless/digital banking model that is also called “neo-banks”.</w:t>
      </w:r>
    </w:p>
    <w:p w:rsidR="002876DD" w:rsidRPr="002876DD" w:rsidRDefault="002876DD" w:rsidP="002876DD">
      <w:pPr>
        <w:jc w:val="both"/>
        <w:rPr>
          <w:sz w:val="24"/>
          <w:szCs w:val="24"/>
          <w:lang w:val="en-GB"/>
        </w:rPr>
      </w:pPr>
    </w:p>
    <w:p w:rsidR="002876DD" w:rsidRPr="002876DD" w:rsidRDefault="002876DD" w:rsidP="002876DD">
      <w:pPr>
        <w:pStyle w:val="ListParagraph"/>
        <w:ind w:hanging="360"/>
        <w:jc w:val="both"/>
        <w:rPr>
          <w:sz w:val="24"/>
          <w:szCs w:val="24"/>
          <w:lang w:val="en-GB"/>
        </w:rPr>
      </w:pPr>
      <w:r w:rsidRPr="002876DD">
        <w:rPr>
          <w:sz w:val="24"/>
          <w:szCs w:val="24"/>
          <w:lang w:val="en-GB"/>
        </w:rPr>
        <w:t>-</w:t>
      </w:r>
      <w:r w:rsidRPr="002876DD">
        <w:rPr>
          <w:rFonts w:ascii="Times New Roman" w:hAnsi="Times New Roman" w:cs="Times New Roman"/>
          <w:sz w:val="24"/>
          <w:szCs w:val="24"/>
          <w:lang w:val="en-GB"/>
        </w:rPr>
        <w:t>     </w:t>
      </w:r>
      <w:r w:rsidRPr="002876DD">
        <w:rPr>
          <w:sz w:val="24"/>
          <w:szCs w:val="24"/>
          <w:lang w:val="en-GB"/>
        </w:rPr>
        <w:t>The Regulation on Operation Principles of Digital Banks and Service Model Banking has been enter</w:t>
      </w:r>
      <w:r w:rsidRPr="002876DD">
        <w:rPr>
          <w:sz w:val="24"/>
          <w:szCs w:val="24"/>
          <w:lang w:val="en-GB"/>
        </w:rPr>
        <w:t>ed into force in December 2021.</w:t>
      </w:r>
    </w:p>
    <w:p w:rsidR="00BA0917" w:rsidRPr="002876DD" w:rsidRDefault="00BA0917"/>
    <w:sectPr w:rsidR="00BA0917" w:rsidRPr="00287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DD"/>
    <w:rsid w:val="002876DD"/>
    <w:rsid w:val="005D1D62"/>
    <w:rsid w:val="00BA09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DD"/>
    <w:pPr>
      <w:spacing w:after="0" w:line="240" w:lineRule="auto"/>
    </w:pPr>
    <w:rPr>
      <w:rFonts w:ascii="Calibri" w:eastAsia="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6D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DD"/>
    <w:pPr>
      <w:spacing w:after="0" w:line="240" w:lineRule="auto"/>
    </w:pPr>
    <w:rPr>
      <w:rFonts w:ascii="Calibri" w:eastAsia="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6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Hazine Müsteşarlığı</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OKTAY</dc:creator>
  <cp:lastModifiedBy>OZLEM OKTAY</cp:lastModifiedBy>
  <cp:revision>2</cp:revision>
  <dcterms:created xsi:type="dcterms:W3CDTF">2022-06-08T06:58:00Z</dcterms:created>
  <dcterms:modified xsi:type="dcterms:W3CDTF">2022-06-08T07:02:00Z</dcterms:modified>
</cp:coreProperties>
</file>